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-221615</wp:posOffset>
            </wp:positionV>
            <wp:extent cx="1756410" cy="1798955"/>
            <wp:effectExtent l="0" t="0" r="15240" b="10795"/>
            <wp:wrapSquare wrapText="bothSides"/>
            <wp:docPr id="2" name="Рисунок 11" descr="лготип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лготип фонд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Министерство труда и социальной защиты населения Ставропольского края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учреждение социального обслуживания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«Ставропольский центр социальной помощи семье и детям»</w:t>
      </w:r>
    </w:p>
    <w:p>
      <w:pPr>
        <w:ind w:firstLine="567"/>
        <w:jc w:val="right"/>
        <w:rPr>
          <w:sz w:val="28"/>
          <w:szCs w:val="28"/>
        </w:rPr>
      </w:pPr>
    </w:p>
    <w:p>
      <w:pPr>
        <w:ind w:firstLine="567"/>
        <w:jc w:val="both"/>
        <w:rPr>
          <w:b/>
          <w:bCs/>
          <w:sz w:val="28"/>
          <w:szCs w:val="28"/>
        </w:rPr>
      </w:pPr>
    </w:p>
    <w:p>
      <w:pPr>
        <w:ind w:firstLine="567"/>
        <w:jc w:val="center"/>
        <w:rPr>
          <w:b/>
          <w:bCs/>
          <w:sz w:val="28"/>
          <w:szCs w:val="28"/>
        </w:rPr>
      </w:pPr>
    </w:p>
    <w:p>
      <w:pPr>
        <w:ind w:firstLine="567"/>
        <w:jc w:val="center"/>
        <w:rPr>
          <w:b/>
          <w:bCs/>
          <w:sz w:val="28"/>
          <w:szCs w:val="28"/>
        </w:rPr>
      </w:pPr>
    </w:p>
    <w:p>
      <w:pPr>
        <w:ind w:firstLine="567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Отделение реабилитации несовершеннолетних с ограниченными физическими и умственными возможностями</w:t>
      </w:r>
    </w:p>
    <w:p>
      <w:pPr>
        <w:ind w:firstLine="567"/>
        <w:jc w:val="right"/>
      </w:pPr>
    </w:p>
    <w:p>
      <w:pPr>
        <w:ind w:firstLine="567"/>
        <w:jc w:val="right"/>
      </w:pPr>
    </w:p>
    <w:p>
      <w:pPr>
        <w:ind w:firstLine="567"/>
        <w:jc w:val="center"/>
      </w:pPr>
      <w:r>
        <w:drawing>
          <wp:inline distT="0" distB="0" distL="0" distR="0">
            <wp:extent cx="2019935" cy="2456815"/>
            <wp:effectExtent l="0" t="0" r="184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t xml:space="preserve">   </w:t>
      </w:r>
    </w:p>
    <w:p>
      <w:pPr>
        <w:ind w:firstLine="567"/>
        <w:jc w:val="both"/>
        <w:rPr>
          <w:b/>
          <w:bCs/>
        </w:rPr>
      </w:pPr>
      <w:r>
        <w:t xml:space="preserve">                                 </w:t>
      </w:r>
    </w:p>
    <w:p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>
      <w:pPr>
        <w:pStyle w:val="2"/>
        <w:ind w:firstLine="567"/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«Монтессори - </w:t>
      </w:r>
      <w:r>
        <w:rPr>
          <w:rFonts w:eastAsia="SimSun"/>
          <w:b/>
          <w:bCs/>
          <w:lang w:val="en-US"/>
        </w:rPr>
        <w:t>STUDIO</w:t>
      </w:r>
      <w:r>
        <w:rPr>
          <w:rFonts w:eastAsia="SimSun"/>
          <w:b/>
          <w:bCs/>
        </w:rPr>
        <w:t>»</w:t>
      </w:r>
    </w:p>
    <w:p>
      <w:pPr>
        <w:rPr>
          <w:lang w:val="ru-RU"/>
        </w:rPr>
      </w:pPr>
    </w:p>
    <w:p>
      <w:pPr>
        <w:ind w:firstLine="567"/>
        <w:jc w:val="center"/>
        <w:rPr>
          <w:b/>
          <w:bCs/>
          <w:sz w:val="36"/>
          <w:szCs w:val="36"/>
        </w:rPr>
      </w:pPr>
    </w:p>
    <w:p>
      <w:pPr>
        <w:ind w:firstLine="567"/>
        <w:jc w:val="center"/>
        <w:rPr>
          <w:b/>
          <w:bCs/>
          <w:sz w:val="36"/>
          <w:szCs w:val="36"/>
        </w:rPr>
      </w:pPr>
    </w:p>
    <w:p>
      <w:pPr>
        <w:ind w:firstLine="567"/>
        <w:jc w:val="right"/>
        <w:rPr>
          <w:sz w:val="28"/>
          <w:szCs w:val="28"/>
        </w:rPr>
      </w:pPr>
    </w:p>
    <w:p>
      <w:pPr>
        <w:ind w:firstLine="567"/>
        <w:jc w:val="right"/>
        <w:rPr>
          <w:sz w:val="28"/>
          <w:szCs w:val="28"/>
        </w:rPr>
      </w:pPr>
    </w:p>
    <w:p>
      <w:pPr>
        <w:ind w:firstLine="567"/>
        <w:jc w:val="right"/>
        <w:rPr>
          <w:sz w:val="28"/>
          <w:szCs w:val="28"/>
        </w:rPr>
      </w:pPr>
    </w:p>
    <w:p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>
      <w:pPr>
        <w:ind w:firstLine="567"/>
        <w:rPr>
          <w:bCs/>
          <w:sz w:val="28"/>
          <w:szCs w:val="28"/>
        </w:rPr>
      </w:pPr>
    </w:p>
    <w:p>
      <w:pPr>
        <w:ind w:firstLine="567"/>
        <w:rPr>
          <w:bCs/>
          <w:sz w:val="28"/>
          <w:szCs w:val="28"/>
        </w:rPr>
      </w:pPr>
    </w:p>
    <w:p>
      <w:pPr>
        <w:ind w:firstLine="567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Ставрополь</w:t>
      </w:r>
    </w:p>
    <w:p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год</w:t>
      </w:r>
    </w:p>
    <w:p>
      <w:pPr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850" w:bottom="1134" w:left="1701" w:header="708" w:footer="708" w:gutter="0"/>
          <w:cols w:space="720" w:num="1"/>
        </w:sect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footerReference r:id="rId5" w:type="default"/>
          <w:type w:val="continuous"/>
          <w:pgSz w:w="11906" w:h="16838"/>
          <w:pgMar w:top="1134" w:right="850" w:bottom="1134" w:left="1701" w:header="708" w:footer="708" w:gutter="0"/>
          <w:cols w:space="720" w:num="1"/>
        </w:sectPr>
      </w:pPr>
    </w:p>
    <w:p>
      <w:pPr>
        <w:spacing w:line="360" w:lineRule="auto"/>
        <w:ind w:firstLine="709"/>
        <w:jc w:val="center"/>
        <w:rPr>
          <w:rFonts w:eastAsia="Times New Roman"/>
          <w:color w:val="222222"/>
          <w:sz w:val="27"/>
          <w:szCs w:val="27"/>
        </w:rPr>
      </w:pPr>
      <w:r>
        <w:rPr>
          <w:rFonts w:eastAsia="Times New Roman"/>
          <w:color w:val="222222"/>
          <w:sz w:val="27"/>
          <w:szCs w:val="27"/>
        </w:rPr>
        <w:t>Пояснительная записка</w:t>
      </w:r>
    </w:p>
    <w:p>
      <w:pPr>
        <w:spacing w:line="360" w:lineRule="auto"/>
        <w:ind w:firstLine="709"/>
        <w:jc w:val="right"/>
        <w:rPr>
          <w:rFonts w:eastAsia="Times New Roman"/>
          <w:color w:val="222222"/>
          <w:sz w:val="27"/>
          <w:szCs w:val="27"/>
        </w:rPr>
      </w:pPr>
      <w:r>
        <w:rPr>
          <w:rFonts w:eastAsia="Times New Roman"/>
          <w:color w:val="222222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«Помоги мне сделать это самому!»                                                                                                                                                                  М. Монтессори</w:t>
      </w:r>
    </w:p>
    <w:p>
      <w:pPr>
        <w:shd w:val="clear" w:color="auto" w:fill="FFFFFF"/>
        <w:spacing w:line="360" w:lineRule="auto"/>
        <w:ind w:firstLine="709"/>
        <w:jc w:val="both"/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>На сегодняшний день среди детей с ограниченными возможностями здоровья выделяется значительная, крайне многочисленная и неоднородная группа, – это дети с расстройствами аутистического спектра (РАС), одним из вариантов которых является ранний детский аутизм (РДА).</w:t>
      </w:r>
    </w:p>
    <w:p>
      <w:pPr>
        <w:shd w:val="clear" w:color="auto" w:fill="FFFFFF"/>
        <w:spacing w:line="360" w:lineRule="auto"/>
        <w:ind w:firstLine="709"/>
        <w:jc w:val="both"/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000000"/>
          <w:sz w:val="27"/>
          <w:szCs w:val="27"/>
        </w:rPr>
        <w:t xml:space="preserve"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деятельности, </w:t>
      </w: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что значительно </w:t>
      </w:r>
      <w:r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  <w:t>затрудняет интеграцию и социализацию детей с РАС.</w:t>
      </w:r>
    </w:p>
    <w:p>
      <w:pPr>
        <w:spacing w:line="360" w:lineRule="auto"/>
        <w:ind w:right="140"/>
        <w:jc w:val="both"/>
        <w:rPr>
          <w:rFonts w:eastAsia="Times New Roman"/>
          <w:color w:val="222222"/>
          <w:sz w:val="27"/>
          <w:szCs w:val="27"/>
          <w:shd w:val="clear" w:color="auto" w:fill="FFFFFF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           В настоящее время   РАС  находится на четвертом месте среди различных видов нарушений у детей. </w:t>
      </w:r>
    </w:p>
    <w:p>
      <w:pPr>
        <w:spacing w:line="360" w:lineRule="auto"/>
        <w:ind w:firstLine="709"/>
        <w:jc w:val="both"/>
        <w:rPr>
          <w:rFonts w:ascii="&amp;quot" w:hAnsi="&amp;quot" w:eastAsia="Times New Roman"/>
          <w:color w:val="000000"/>
          <w:sz w:val="27"/>
          <w:szCs w:val="27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 До недавнего времени в нашей стране ребенка с таким расстройством признавали необучаемыми. Но в последнее время ситуация в корне изменилась. Благодаря инклюзии, дети с РАС стали посещать детские сады и обучаться в коррекционных и общеобразовательных школах. </w:t>
      </w:r>
      <w:r>
        <w:rPr>
          <w:rFonts w:eastAsia="Open Sans"/>
          <w:color w:val="000000"/>
          <w:sz w:val="27"/>
          <w:szCs w:val="27"/>
        </w:rPr>
        <w:t>Исследование показало, что раннее вмешательство (от рождения до трёхлетнего возраста) оказывает существенное влияние и сокращает проявления симптомов расстройств из спектра аутизма. В этом возрасте «абсорбируещее», впитывающее сознание наиболее гибко и дети открыты для изменений.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Open Sans"/>
          <w:color w:val="000000"/>
          <w:sz w:val="27"/>
          <w:szCs w:val="27"/>
        </w:rPr>
        <w:t xml:space="preserve">В настоящее время одной из самых известных гуманистических  методик,  </w:t>
      </w:r>
      <w:r>
        <w:rPr>
          <w:rFonts w:eastAsia="Times New Roman"/>
          <w:color w:val="000000"/>
          <w:sz w:val="27"/>
          <w:szCs w:val="27"/>
        </w:rPr>
        <w:t>обеспечивающих ребенку развивающую  среду и наиболее подготовленных к принятию «особенных» детей, имеющих тяжелые нарушения в развитии,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 является методика Марии Монтессори</w:t>
      </w:r>
      <w:r>
        <w:rPr>
          <w:rFonts w:eastAsia="Times New Roman"/>
          <w:color w:val="000000"/>
          <w:sz w:val="27"/>
          <w:szCs w:val="27"/>
        </w:rPr>
        <w:t>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Монтессори -  материалы помогают, на основании практических наглядных действий, собственного  опыта ребенка в организованной среде   упорядочить постижение ребёнком окружающего мира, узнавать новое, </w:t>
      </w:r>
      <w:r>
        <w:rPr>
          <w:rFonts w:eastAsia="Times New Roman"/>
          <w:color w:val="222222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  <w:lang w:eastAsia="zh-CN"/>
        </w:rPr>
        <w:t>ориентироваться в нем и  становиться все более уверенным и самостоятельным.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222222"/>
          <w:sz w:val="27"/>
          <w:szCs w:val="27"/>
        </w:rPr>
        <w:t xml:space="preserve">«Помоги мне сделать это самому!»  - девиз концепции   М. Монтессори.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 xml:space="preserve">Актуальность </w:t>
      </w:r>
      <w:r>
        <w:rPr>
          <w:rFonts w:eastAsia="Calibri"/>
          <w:sz w:val="27"/>
          <w:szCs w:val="27"/>
          <w:lang w:eastAsia="en-US"/>
        </w:rPr>
        <w:t>программы обусловлена достаточной распространенностью РАС среди детей с о.в. на сегодняшний день   и необходимостью предоставления им своевременной, эффективной помощи и поддержки.</w:t>
      </w:r>
    </w:p>
    <w:p>
      <w:pPr>
        <w:spacing w:line="360" w:lineRule="auto"/>
        <w:ind w:firstLine="709"/>
        <w:jc w:val="both"/>
        <w:rPr>
          <w:rFonts w:eastAsia="Calibri"/>
          <w:b/>
          <w:bCs/>
          <w:sz w:val="27"/>
          <w:szCs w:val="27"/>
          <w:u w:val="none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Цель: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Повышение адаптационных возможностей у детей с РДА посредством использования методики М. Монтессори.</w:t>
      </w:r>
    </w:p>
    <w:p>
      <w:pPr>
        <w:spacing w:line="360" w:lineRule="auto"/>
        <w:ind w:firstLine="709"/>
        <w:jc w:val="both"/>
        <w:rPr>
          <w:rFonts w:eastAsia="Calibri"/>
          <w:b/>
          <w:bCs/>
          <w:sz w:val="27"/>
          <w:szCs w:val="27"/>
          <w:u w:val="none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Задачи: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Воспитание интереса к окружающему миру, потребности в общении;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Расширение круга увлечений;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Развитие и обогащение эмоционального опыта детей;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Формирование коммуникативных умений;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Сенсорное развитие;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Повышение двигательной активности несовершеннолетних;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Формирование социально - бытовых умений и навыков самообслуживание;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Стимуляция звуковой и речевой активности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 xml:space="preserve">Инновационность </w:t>
      </w:r>
      <w:r>
        <w:rPr>
          <w:rFonts w:eastAsia="Calibri"/>
          <w:sz w:val="27"/>
          <w:szCs w:val="27"/>
          <w:lang w:eastAsia="en-US"/>
        </w:rPr>
        <w:t>программы состоит в том, что она разработана с учетом особенностей и потребностей детей с РАС.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 Уникальное пространство развивающей среды Монтессори используется в сочетании с игровыми   технологиями и методиками, </w:t>
      </w:r>
      <w:r>
        <w:rPr>
          <w:color w:val="000000"/>
          <w:sz w:val="28"/>
          <w:szCs w:val="28"/>
          <w:shd w:val="clear" w:color="auto" w:fill="FFFFFF"/>
        </w:rPr>
        <w:t>арт-терапией, техникой поддерживающей коммуникации – карточки ПЕКС (PECS).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eastAsia="zh-CN"/>
        </w:rPr>
        <w:t>Программа реализуется на основании эмоционально – уровнего подхода к коррекции детей с РАС О. Н. Никольской и Лебединской с учетом 4 уровней тяжести РАС.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 xml:space="preserve">Направленность программы </w:t>
      </w:r>
      <w:r>
        <w:rPr>
          <w:rFonts w:eastAsia="Calibri"/>
          <w:sz w:val="27"/>
          <w:szCs w:val="27"/>
          <w:lang w:eastAsia="en-US"/>
        </w:rPr>
        <w:t>– социально – педагогическая.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Целевая группа</w:t>
      </w:r>
      <w:r>
        <w:rPr>
          <w:rFonts w:eastAsia="Calibri"/>
          <w:sz w:val="27"/>
          <w:szCs w:val="27"/>
          <w:lang w:eastAsia="en-US"/>
        </w:rPr>
        <w:t xml:space="preserve"> – дети с РАС в возрасте от 2 до 10 лет.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Количество участников – 20 чел.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Материально – техническое обеспечение:</w:t>
      </w:r>
      <w:r>
        <w:rPr>
          <w:rFonts w:eastAsia="Calibri"/>
          <w:sz w:val="27"/>
          <w:szCs w:val="27"/>
          <w:lang w:eastAsia="en-US"/>
        </w:rPr>
        <w:t xml:space="preserve"> занятия проводятся в специально оснащенном кабинете, укомплектованном методическими, дидактическими и техническими средствами Монтессори - среды.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 xml:space="preserve">Срок реализации </w:t>
      </w:r>
      <w:r>
        <w:rPr>
          <w:rFonts w:eastAsia="Calibri"/>
          <w:sz w:val="27"/>
          <w:szCs w:val="27"/>
          <w:lang w:eastAsia="en-US"/>
        </w:rPr>
        <w:t>– 2019 - 2020 гг.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Режим занятий</w:t>
      </w:r>
      <w:r>
        <w:rPr>
          <w:rFonts w:eastAsia="Calibri"/>
          <w:sz w:val="27"/>
          <w:szCs w:val="27"/>
          <w:lang w:eastAsia="en-US"/>
        </w:rPr>
        <w:t xml:space="preserve"> - 1 раз в неделю.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Продолжительность курса</w:t>
      </w:r>
      <w:r>
        <w:rPr>
          <w:rFonts w:eastAsia="Calibri"/>
          <w:sz w:val="27"/>
          <w:szCs w:val="27"/>
          <w:lang w:eastAsia="en-US"/>
        </w:rPr>
        <w:t xml:space="preserve"> –  </w:t>
      </w:r>
      <w:r>
        <w:rPr>
          <w:rFonts w:eastAsia="Calibri"/>
          <w:sz w:val="27"/>
          <w:szCs w:val="27"/>
          <w:lang w:val="en-US" w:eastAsia="en-US"/>
        </w:rPr>
        <w:t>IV</w:t>
      </w:r>
      <w:r>
        <w:rPr>
          <w:rFonts w:eastAsia="Calibri"/>
          <w:sz w:val="27"/>
          <w:szCs w:val="27"/>
          <w:lang w:eastAsia="en-US"/>
        </w:rPr>
        <w:t xml:space="preserve"> квартал 2019 г., 2020 г.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Продолжительность одного занятия – 30 мин.</w:t>
      </w:r>
    </w:p>
    <w:p>
      <w:pPr>
        <w:spacing w:line="360" w:lineRule="auto"/>
        <w:ind w:firstLine="709"/>
        <w:jc w:val="both"/>
        <w:rPr>
          <w:sz w:val="28"/>
          <w:szCs w:val="28"/>
          <w:lang w:eastAsia="zh-CN" w:bidi="ar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 xml:space="preserve">Методы работы: </w:t>
      </w:r>
      <w:r>
        <w:rPr>
          <w:rFonts w:eastAsia="Calibri"/>
          <w:sz w:val="27"/>
          <w:szCs w:val="27"/>
          <w:lang w:eastAsia="en-US"/>
        </w:rPr>
        <w:t>дидактические игры и упражнения</w:t>
      </w:r>
      <w:r>
        <w:rPr>
          <w:sz w:val="27"/>
          <w:szCs w:val="27"/>
          <w:lang w:eastAsia="zh-CN" w:bidi="ar"/>
        </w:rPr>
        <w:t xml:space="preserve"> с Монтессори -материалом</w:t>
      </w:r>
      <w:r>
        <w:rPr>
          <w:rFonts w:eastAsia="Calibri"/>
          <w:sz w:val="27"/>
          <w:szCs w:val="27"/>
          <w:lang w:eastAsia="en-US"/>
        </w:rPr>
        <w:t>, игротерапия,</w:t>
      </w:r>
      <w:r>
        <w:rPr>
          <w:sz w:val="27"/>
          <w:szCs w:val="27"/>
          <w:lang w:eastAsia="zh-CN" w:bidi="ar"/>
        </w:rPr>
        <w:t xml:space="preserve"> </w:t>
      </w:r>
      <w:r>
        <w:rPr>
          <w:sz w:val="28"/>
          <w:szCs w:val="28"/>
          <w:lang w:eastAsia="zh-CN" w:bidi="ar"/>
        </w:rPr>
        <w:t xml:space="preserve">элементы театрализованной деятельности (знакомство с игрушкой), элементы тренинга МПВ (межполушарного взаимодействия), </w:t>
      </w:r>
      <w:r>
        <w:rPr>
          <w:sz w:val="27"/>
          <w:szCs w:val="27"/>
          <w:lang w:eastAsia="zh-CN" w:bidi="ar"/>
        </w:rPr>
        <w:t>арт – терапия, т</w:t>
      </w:r>
      <w:r>
        <w:rPr>
          <w:rFonts w:eastAsia="Calibri"/>
          <w:sz w:val="27"/>
          <w:szCs w:val="27"/>
          <w:lang w:eastAsia="en-US"/>
        </w:rPr>
        <w:t>ехника поддерживающей коммуникации – карточки ПЕКС (</w:t>
      </w:r>
      <w:r>
        <w:rPr>
          <w:rFonts w:eastAsia="Calibri"/>
          <w:sz w:val="27"/>
          <w:szCs w:val="27"/>
          <w:lang w:val="en-US" w:eastAsia="en-US"/>
        </w:rPr>
        <w:t>PECS</w:t>
      </w:r>
      <w:r>
        <w:rPr>
          <w:rFonts w:eastAsia="Calibri"/>
          <w:sz w:val="27"/>
          <w:szCs w:val="27"/>
          <w:lang w:eastAsia="en-US"/>
        </w:rPr>
        <w:t>)</w:t>
      </w:r>
      <w:r>
        <w:rPr>
          <w:sz w:val="27"/>
          <w:szCs w:val="27"/>
          <w:lang w:eastAsia="zh-CN" w:bidi="ar"/>
        </w:rPr>
        <w:t>,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sz w:val="28"/>
          <w:szCs w:val="28"/>
          <w:lang w:eastAsia="zh-CN" w:bidi="ar"/>
        </w:rPr>
        <w:t xml:space="preserve">подвижные игры, психогимнастика.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Ожидаемые результаты: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09"/>
        <w:jc w:val="both"/>
        <w:textAlignment w:val="auto"/>
        <w:outlineLvl w:val="9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>- повышение интереса детей с РАС к окружающему миру, развитие социально-бытовых умений и навыков самообслуживания, звуковой, речевой и  двигательной  активности;  развитие потребности в общении, коммуникативных умений, обогащение эмоционального опыта, расширение круга увлечений, сенсорное развитие;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719" w:firstLineChars="257"/>
        <w:jc w:val="both"/>
        <w:textAlignment w:val="baseline"/>
        <w:outlineLvl w:val="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- повышение родительской компетентности в вопросах</w:t>
      </w:r>
      <w:r>
        <w:rPr>
          <w:rStyle w:val="8"/>
          <w:sz w:val="28"/>
          <w:szCs w:val="28"/>
          <w:shd w:val="clear" w:color="auto" w:fill="FFFFFF"/>
        </w:rPr>
        <w:t xml:space="preserve"> развития общения и речи ребенка, мобильности, навыков самообслуживания и бытовых навыков, </w:t>
      </w:r>
      <w:r>
        <w:rPr>
          <w:rStyle w:val="8"/>
          <w:sz w:val="28"/>
          <w:szCs w:val="28"/>
        </w:rPr>
        <w:t>развитие игровой деятельности у детей с ОВЗ, в том числе с ранним детским аутизмом, расстройствами аутистического спектра.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footerReference r:id="rId6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eastAsia="Calibri"/>
          <w:b/>
          <w:bCs/>
          <w:sz w:val="27"/>
          <w:szCs w:val="27"/>
          <w:u w:val="none"/>
          <w:lang w:eastAsia="en-US"/>
        </w:rPr>
        <w:t>Результативность</w:t>
      </w:r>
      <w:r>
        <w:rPr>
          <w:rFonts w:eastAsia="Calibri"/>
          <w:sz w:val="27"/>
          <w:szCs w:val="27"/>
          <w:lang w:eastAsia="en-US"/>
        </w:rPr>
        <w:t xml:space="preserve"> программы отслеживается посредством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мониторинга на начало и конец курса реабилитации на основании «Анкеты развития ребенка», скрининг - анкеты для родителей детей до 2-х лет, опросника SCQ</w:t>
      </w:r>
      <w:bookmarkStart w:id="0" w:name="_GoBack"/>
      <w:bookmarkEnd w:id="0"/>
      <w:r>
        <w:rPr>
          <w:sz w:val="28"/>
          <w:szCs w:val="28"/>
        </w:rPr>
        <w:t xml:space="preserve"> – для возраста старше 4 - х лет, отзывов родителей.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FreeSans"/>
    <w:panose1 w:val="020B0502040204020203"/>
    <w:charset w:val="CC"/>
    <w:family w:val="decorative"/>
    <w:pitch w:val="default"/>
    <w:sig w:usb0="00000000" w:usb1="00000000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 Neue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altName w:val="FZHei-B01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Arial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 Light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Andale Mono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等线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modern"/>
    <w:pitch w:val="default"/>
    <w:sig w:usb0="00000287" w:usb1="00000000" w:usb2="00000000" w:usb3="00000000" w:csb0="2000019F" w:csb1="00000000"/>
  </w:font>
  <w:font w:name="Century Schoolbook L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Lucida Sans Unicode">
    <w:altName w:val="DejaVu Sans"/>
    <w:panose1 w:val="020B0602030504020204"/>
    <w:charset w:val="00"/>
    <w:family w:val="modern"/>
    <w:pitch w:val="default"/>
    <w:sig w:usb0="00000000" w:usb1="00000000" w:usb2="00000000" w:usb3="00000000" w:csb0="200000BF" w:csb1="D7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egoeUI-Semilight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ttori Hanzo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Ff68eg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ITVuIw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E7B59B"/>
    <w:rsid w:val="C7E7B5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Times New Roman"/>
      <w:sz w:val="40"/>
      <w:szCs w:val="4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7">
    <w:name w:val="paragraph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normaltextru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2020-01-31T15:12:00Z</dcterms:created>
  <dc:creator>trushina</dc:creator>
  <cp:lastModifiedBy>trushina</cp:lastModifiedBy>
  <dcterms:modified xsi:type="dcterms:W3CDTF">2020-01-31T15:13:59Z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